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AB" w:rsidRPr="005369AB" w:rsidRDefault="005369AB" w:rsidP="005369AB">
      <w:pPr>
        <w:autoSpaceDE w:val="0"/>
        <w:autoSpaceDN w:val="0"/>
        <w:adjustRightInd w:val="0"/>
        <w:ind w:left="720"/>
        <w:contextualSpacing/>
        <w:jc w:val="center"/>
        <w:rPr>
          <w:rFonts w:eastAsia="Corbel" w:cs="Arial"/>
          <w:b/>
          <w:sz w:val="28"/>
          <w:szCs w:val="28"/>
        </w:rPr>
      </w:pPr>
      <w:r w:rsidRPr="005369AB">
        <w:rPr>
          <w:rFonts w:eastAsia="Corbe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E4CD78D" wp14:editId="34F5E775">
            <wp:simplePos x="0" y="0"/>
            <wp:positionH relativeFrom="column">
              <wp:posOffset>9524</wp:posOffset>
            </wp:positionH>
            <wp:positionV relativeFrom="paragraph">
              <wp:posOffset>-314325</wp:posOffset>
            </wp:positionV>
            <wp:extent cx="533731" cy="514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S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3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9AB">
        <w:rPr>
          <w:rFonts w:eastAsia="Corbel" w:cs="Arial"/>
          <w:b/>
          <w:sz w:val="28"/>
          <w:szCs w:val="28"/>
        </w:rPr>
        <w:t>Onboarding Checklist</w:t>
      </w:r>
    </w:p>
    <w:p w:rsidR="005369AB" w:rsidRPr="006621D5" w:rsidRDefault="005369AB" w:rsidP="005369AB">
      <w:pPr>
        <w:tabs>
          <w:tab w:val="left" w:pos="5130"/>
        </w:tabs>
        <w:autoSpaceDE w:val="0"/>
        <w:autoSpaceDN w:val="0"/>
        <w:adjustRightInd w:val="0"/>
        <w:contextualSpacing/>
        <w:rPr>
          <w:rFonts w:eastAsia="Corbel" w:cs="Arial"/>
          <w:b/>
        </w:rPr>
      </w:pPr>
    </w:p>
    <w:p w:rsidR="005369AB" w:rsidRPr="006621D5" w:rsidRDefault="005369AB" w:rsidP="005369AB">
      <w:pPr>
        <w:tabs>
          <w:tab w:val="left" w:pos="5130"/>
        </w:tabs>
        <w:autoSpaceDE w:val="0"/>
        <w:autoSpaceDN w:val="0"/>
        <w:adjustRightInd w:val="0"/>
        <w:contextualSpacing/>
        <w:rPr>
          <w:rFonts w:eastAsia="Corbel" w:cs="Arial"/>
          <w:b/>
          <w:u w:val="single"/>
        </w:rPr>
      </w:pPr>
      <w:r w:rsidRPr="006621D5">
        <w:rPr>
          <w:rFonts w:eastAsia="Corbel" w:cs="Arial"/>
          <w:b/>
        </w:rPr>
        <w:t xml:space="preserve">Name </w:t>
      </w:r>
      <w:r w:rsidRPr="006621D5">
        <w:rPr>
          <w:rFonts w:eastAsia="Corbel" w:cs="Arial"/>
          <w:b/>
          <w:u w:val="single"/>
        </w:rPr>
        <w:tab/>
      </w:r>
      <w:r w:rsidRPr="006621D5">
        <w:rPr>
          <w:rFonts w:eastAsia="Corbel" w:cs="Arial"/>
          <w:b/>
        </w:rPr>
        <w:tab/>
        <w:t xml:space="preserve">Hire Date </w:t>
      </w:r>
      <w:r w:rsidRPr="006621D5">
        <w:rPr>
          <w:rFonts w:eastAsia="Corbel" w:cs="Arial"/>
          <w:b/>
          <w:u w:val="single"/>
        </w:rPr>
        <w:tab/>
      </w:r>
      <w:r w:rsidRPr="006621D5">
        <w:rPr>
          <w:rFonts w:eastAsia="Corbel" w:cs="Arial"/>
          <w:b/>
          <w:u w:val="single"/>
        </w:rPr>
        <w:tab/>
      </w:r>
      <w:r w:rsidRPr="006621D5">
        <w:rPr>
          <w:rFonts w:eastAsia="Corbel" w:cs="Arial"/>
          <w:b/>
          <w:u w:val="single"/>
        </w:rPr>
        <w:tab/>
      </w:r>
      <w:r w:rsidRPr="006621D5">
        <w:rPr>
          <w:rFonts w:eastAsia="Corbel" w:cs="Arial"/>
          <w:b/>
          <w:u w:val="single"/>
        </w:rPr>
        <w:tab/>
      </w:r>
      <w:r w:rsidRPr="006621D5">
        <w:rPr>
          <w:rFonts w:eastAsia="Corbel" w:cs="Arial"/>
          <w:b/>
          <w:u w:val="single"/>
        </w:rPr>
        <w:tab/>
      </w:r>
    </w:p>
    <w:p w:rsidR="005369AB" w:rsidRPr="006621D5" w:rsidRDefault="005369AB" w:rsidP="005369AB">
      <w:pPr>
        <w:tabs>
          <w:tab w:val="left" w:pos="5130"/>
        </w:tabs>
        <w:autoSpaceDE w:val="0"/>
        <w:autoSpaceDN w:val="0"/>
        <w:adjustRightInd w:val="0"/>
        <w:contextualSpacing/>
        <w:rPr>
          <w:rFonts w:eastAsia="Corbel" w:cs="Arial"/>
          <w:b/>
        </w:rPr>
      </w:pPr>
    </w:p>
    <w:p w:rsidR="005369AB" w:rsidRPr="006621D5" w:rsidRDefault="005369AB" w:rsidP="005369AB">
      <w:pPr>
        <w:tabs>
          <w:tab w:val="left" w:pos="5130"/>
        </w:tabs>
        <w:autoSpaceDE w:val="0"/>
        <w:autoSpaceDN w:val="0"/>
        <w:adjustRightInd w:val="0"/>
        <w:contextualSpacing/>
        <w:rPr>
          <w:rFonts w:eastAsia="Corbel" w:cs="Arial"/>
          <w:b/>
          <w:u w:val="single"/>
        </w:rPr>
      </w:pPr>
      <w:r w:rsidRPr="006621D5">
        <w:rPr>
          <w:rFonts w:eastAsia="Corbel" w:cs="Arial"/>
          <w:b/>
        </w:rPr>
        <w:t xml:space="preserve">Department </w:t>
      </w:r>
      <w:r w:rsidRPr="006621D5">
        <w:rPr>
          <w:rFonts w:eastAsia="Corbel" w:cs="Arial"/>
          <w:b/>
          <w:u w:val="single"/>
        </w:rPr>
        <w:tab/>
      </w:r>
      <w:r w:rsidRPr="006621D5">
        <w:rPr>
          <w:rFonts w:eastAsia="Corbel" w:cs="Arial"/>
          <w:b/>
        </w:rPr>
        <w:tab/>
        <w:t xml:space="preserve">Supervisor </w:t>
      </w:r>
      <w:r w:rsidRPr="006621D5">
        <w:rPr>
          <w:rFonts w:eastAsia="Corbel" w:cs="Arial"/>
          <w:b/>
          <w:u w:val="single"/>
        </w:rPr>
        <w:tab/>
      </w:r>
      <w:r w:rsidRPr="006621D5">
        <w:rPr>
          <w:rFonts w:eastAsia="Corbel" w:cs="Arial"/>
          <w:b/>
          <w:u w:val="single"/>
        </w:rPr>
        <w:tab/>
      </w:r>
      <w:r w:rsidRPr="006621D5">
        <w:rPr>
          <w:rFonts w:eastAsia="Corbel" w:cs="Arial"/>
          <w:b/>
          <w:u w:val="single"/>
        </w:rPr>
        <w:tab/>
      </w:r>
      <w:r w:rsidRPr="006621D5">
        <w:rPr>
          <w:rFonts w:eastAsia="Corbel" w:cs="Arial"/>
          <w:b/>
          <w:u w:val="single"/>
        </w:rPr>
        <w:tab/>
      </w:r>
      <w:r w:rsidRPr="006621D5">
        <w:rPr>
          <w:rFonts w:eastAsia="Corbel" w:cs="Arial"/>
          <w:b/>
          <w:u w:val="single"/>
        </w:rPr>
        <w:tab/>
      </w:r>
    </w:p>
    <w:p w:rsidR="005369AB" w:rsidRPr="006621D5" w:rsidRDefault="005369AB" w:rsidP="005369AB">
      <w:pPr>
        <w:tabs>
          <w:tab w:val="left" w:pos="5130"/>
        </w:tabs>
        <w:autoSpaceDE w:val="0"/>
        <w:autoSpaceDN w:val="0"/>
        <w:adjustRightInd w:val="0"/>
        <w:contextualSpacing/>
        <w:rPr>
          <w:rFonts w:eastAsia="Corbel" w:cs="Arial"/>
          <w:b/>
        </w:rPr>
      </w:pPr>
    </w:p>
    <w:p w:rsidR="005369AB" w:rsidRPr="006621D5" w:rsidRDefault="005369AB" w:rsidP="005369AB">
      <w:pPr>
        <w:tabs>
          <w:tab w:val="left" w:pos="5130"/>
        </w:tabs>
        <w:autoSpaceDE w:val="0"/>
        <w:autoSpaceDN w:val="0"/>
        <w:adjustRightInd w:val="0"/>
        <w:contextualSpacing/>
        <w:rPr>
          <w:rFonts w:eastAsia="Corbel" w:cs="Arial"/>
          <w:b/>
        </w:rPr>
      </w:pPr>
      <w:r w:rsidRPr="006621D5">
        <w:rPr>
          <w:rFonts w:eastAsia="Corbel" w:cs="Arial"/>
          <w:b/>
        </w:rPr>
        <w:t>Welcome to Trinity Health System and/or to a Transfer Unit-Department! We want to ensure your onboarding experience is engaging and productive. Below is a list of tasks and responsible person(s) to complete important to your transition to your position. This checklist will be verified online and will serve as validation of your Department-Unit Orientation as a new hire and/or transfer employee. Thank you.</w:t>
      </w:r>
    </w:p>
    <w:p w:rsidR="005369AB" w:rsidRPr="006621D5" w:rsidRDefault="005369AB" w:rsidP="005369AB">
      <w:pPr>
        <w:tabs>
          <w:tab w:val="left" w:pos="5130"/>
        </w:tabs>
        <w:autoSpaceDE w:val="0"/>
        <w:autoSpaceDN w:val="0"/>
        <w:adjustRightInd w:val="0"/>
        <w:contextualSpacing/>
        <w:rPr>
          <w:rFonts w:eastAsia="Corbel" w:cs="Arial"/>
          <w:b/>
        </w:rPr>
      </w:pPr>
    </w:p>
    <w:tbl>
      <w:tblPr>
        <w:tblStyle w:val="TableGrid"/>
        <w:tblW w:w="112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540"/>
        <w:gridCol w:w="1710"/>
      </w:tblGrid>
      <w:tr w:rsidR="005369AB" w:rsidRPr="006621D5" w:rsidTr="006210F1">
        <w:tc>
          <w:tcPr>
            <w:tcW w:w="9540" w:type="dxa"/>
            <w:shd w:val="clear" w:color="auto" w:fill="000000" w:themeFill="text1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360" w:hanging="360"/>
              <w:rPr>
                <w:rFonts w:eastAsia="Corbel" w:cs="Arial"/>
                <w:b/>
                <w:color w:val="FFFFFF" w:themeColor="background1"/>
              </w:rPr>
            </w:pPr>
            <w:r w:rsidRPr="006621D5">
              <w:rPr>
                <w:rFonts w:eastAsia="Corbel" w:cs="Arial"/>
                <w:b/>
                <w:color w:val="FFFFFF" w:themeColor="background1"/>
              </w:rPr>
              <w:t>PRE-EMPLOYMENT THROUGH FIRST WEEK</w:t>
            </w:r>
          </w:p>
        </w:tc>
        <w:tc>
          <w:tcPr>
            <w:tcW w:w="1710" w:type="dxa"/>
            <w:shd w:val="clear" w:color="auto" w:fill="000000" w:themeFill="text1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360" w:hanging="360"/>
              <w:contextualSpacing/>
              <w:rPr>
                <w:rFonts w:eastAsia="Corbel" w:cs="Arial"/>
                <w:b/>
                <w:color w:val="FFFFFF" w:themeColor="background1"/>
              </w:rPr>
            </w:pPr>
            <w:r w:rsidRPr="006621D5">
              <w:rPr>
                <w:rFonts w:eastAsia="Corbel" w:cs="Arial"/>
                <w:b/>
                <w:color w:val="FFFFFF" w:themeColor="background1"/>
              </w:rPr>
              <w:t>Completed By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contextualSpacing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39821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Set up a Position MGR Account and complete application, behavioral assessment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contextualSpacing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177721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Complete New Hire Paperwork Online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160849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Screen applicant for qualifications and job fit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HR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37369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Forward eligible candidates to Hiring Manager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HR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13425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Schedule Interview and Peer Interview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MGR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44034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Offer job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MGR-HR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117738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Enter into Meditech System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HR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45309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Schedule Health work at Work Care (740-264-4250) and notify employee of health work clearance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HR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156401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Schedule for General Orientation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HR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166273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Assign Swank Healthcare Online Learning Courses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ET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1560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Send Welcome Letter with instructions for General Orientation, Nursing Orientation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HR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210654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Send Welcome Letter with schedule to include department orientation agenda to employee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MGR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53731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E-mail staff and preceptor communicating employee name, position, and arrival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MGR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2343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cs="Arial"/>
              </w:rPr>
              <w:t>Request for Meditech Access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HR-MGR-IT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contextualSpacing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171094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 xml:space="preserve">Complete Swank Healthcare Online Learning Assignments: </w:t>
            </w:r>
            <w:hyperlink r:id="rId9" w:history="1">
              <w:r w:rsidRPr="006621D5">
                <w:rPr>
                  <w:rFonts w:eastAsia="Corbel" w:cs="Arial"/>
                  <w:color w:val="0000FF" w:themeColor="hyperlink"/>
                  <w:u w:val="single"/>
                </w:rPr>
                <w:t>https://</w:t>
              </w:r>
              <w:proofErr w:type="spellStart"/>
              <w:r w:rsidRPr="006621D5">
                <w:rPr>
                  <w:rFonts w:eastAsia="Corbel" w:cs="Arial"/>
                  <w:color w:val="0000FF" w:themeColor="hyperlink"/>
                  <w:u w:val="single"/>
                </w:rPr>
                <w:t>ths.swankhealthcare.com</w:t>
              </w:r>
              <w:proofErr w:type="spellEnd"/>
            </w:hyperlink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169812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Absence Control Policy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109058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eastAsia="Corbel" w:cs="Arial"/>
              </w:rPr>
              <w:t xml:space="preserve">CHI - </w:t>
            </w:r>
            <w:r w:rsidRPr="006621D5">
              <w:rPr>
                <w:rFonts w:eastAsia="Corbel" w:cs="Arial"/>
              </w:rPr>
              <w:t>Acknowledgment and Certification for Confidentiality and Acceptable Use Agreement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rPr>
          <w:trHeight w:val="197"/>
        </w:trPr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179112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CHI – Introduction to Information Privacy and Security Awareness Training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86058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 xml:space="preserve"> IRIS 2.0: Reporter Intro and Overview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141585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IRIS 2.0: Reviewer Intro and Overview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133203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NIMS 100: Healthcare/Hospital Part 1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41714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CHI - Our Values and Ethics at Work Ref</w:t>
            </w:r>
            <w:r>
              <w:rPr>
                <w:rFonts w:eastAsia="Corbel" w:cs="Arial"/>
              </w:rPr>
              <w:t>erence Guide Acknowledgement &amp; Certification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195277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Participant Walkthrough Swank Healthcare System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cs="Arial"/>
                </w:rPr>
                <w:id w:val="4040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cs="Arial"/>
              </w:rPr>
              <w:t>Trinity Safety Storm Clinical or Non-Clinical (Per Position)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10158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Smoke Free Workplace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102945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Substance Abuse Awareness Policy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38317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Tardy Early Leave Program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ind w:left="288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101076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>Vehicle Registration, Parking Registration, Violations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sdt>
              <w:sdtPr>
                <w:rPr>
                  <w:rFonts w:eastAsia="Corbel" w:cs="Arial"/>
                </w:rPr>
                <w:id w:val="-176983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eastAsia="Corbel" w:cs="Arial"/>
              </w:rPr>
              <w:t xml:space="preserve">Performance Manager: </w:t>
            </w:r>
            <w:hyperlink r:id="rId10" w:history="1">
              <w:r w:rsidRPr="006621D5">
                <w:rPr>
                  <w:rFonts w:eastAsia="Corbel" w:cs="Arial"/>
                  <w:color w:val="0000FF" w:themeColor="hyperlink"/>
                  <w:u w:val="single"/>
                </w:rPr>
                <w:t>https://</w:t>
              </w:r>
              <w:proofErr w:type="spellStart"/>
              <w:r w:rsidRPr="006621D5">
                <w:rPr>
                  <w:rFonts w:eastAsia="Corbel" w:cs="Arial"/>
                  <w:color w:val="0000FF" w:themeColor="hyperlink"/>
                  <w:u w:val="single"/>
                </w:rPr>
                <w:t>pfm.healthcaresource.com</w:t>
              </w:r>
              <w:proofErr w:type="spellEnd"/>
              <w:r w:rsidRPr="006621D5">
                <w:rPr>
                  <w:rFonts w:eastAsia="Corbel" w:cs="Arial"/>
                  <w:color w:val="0000FF" w:themeColor="hyperlink"/>
                  <w:u w:val="single"/>
                </w:rPr>
                <w:t>/performance/ths</w:t>
              </w:r>
            </w:hyperlink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rPr>
          <w:trHeight w:val="233"/>
        </w:trPr>
        <w:tc>
          <w:tcPr>
            <w:tcW w:w="9540" w:type="dxa"/>
          </w:tcPr>
          <w:p w:rsidR="005369AB" w:rsidRPr="006621D5" w:rsidRDefault="005369AB" w:rsidP="005369AB">
            <w:pPr>
              <w:numPr>
                <w:ilvl w:val="0"/>
                <w:numId w:val="2"/>
              </w:numPr>
              <w:ind w:left="576" w:hanging="288"/>
              <w:contextualSpacing/>
              <w:rPr>
                <w:rFonts w:cs="Arial"/>
              </w:rPr>
            </w:pPr>
            <w:r w:rsidRPr="006621D5">
              <w:rPr>
                <w:rFonts w:cs="Arial"/>
              </w:rPr>
              <w:t>Job Description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5369AB">
            <w:pPr>
              <w:numPr>
                <w:ilvl w:val="0"/>
                <w:numId w:val="2"/>
              </w:numPr>
              <w:ind w:left="576" w:hanging="288"/>
              <w:contextualSpacing/>
              <w:rPr>
                <w:rFonts w:cs="Arial"/>
              </w:rPr>
            </w:pPr>
            <w:r w:rsidRPr="006621D5">
              <w:rPr>
                <w:rFonts w:cs="Arial"/>
              </w:rPr>
              <w:t>Initial Competency Self-Assessment (Clinical Only)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Default="005369AB" w:rsidP="006210F1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176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1D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6621D5">
              <w:rPr>
                <w:rFonts w:cs="Arial"/>
              </w:rPr>
              <w:t>Confirm completed all online requirements for compensation prior to working on the department-</w:t>
            </w:r>
          </w:p>
          <w:p w:rsidR="005369AB" w:rsidRPr="006621D5" w:rsidRDefault="005369AB" w:rsidP="006210F1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Pr="006621D5">
              <w:rPr>
                <w:rFonts w:cs="Arial"/>
              </w:rPr>
              <w:t>unit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EMP-HR-MGR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000000" w:themeFill="text1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  <w:b/>
                <w:color w:val="FFFFFF" w:themeColor="background1"/>
              </w:rPr>
              <w:t>30 DAYS</w:t>
            </w:r>
          </w:p>
        </w:tc>
        <w:tc>
          <w:tcPr>
            <w:tcW w:w="1710" w:type="dxa"/>
            <w:shd w:val="clear" w:color="auto" w:fill="000000" w:themeFill="text1"/>
          </w:tcPr>
          <w:p w:rsidR="005369AB" w:rsidRPr="006621D5" w:rsidRDefault="005369AB" w:rsidP="006210F1">
            <w:pPr>
              <w:ind w:left="360"/>
              <w:rPr>
                <w:rFonts w:eastAsia="Corbel" w:cs="Arial"/>
              </w:rPr>
            </w:pP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keepNext/>
              <w:outlineLvl w:val="0"/>
              <w:rPr>
                <w:rFonts w:eastAsia="Times New Roman" w:cs="Arial"/>
                <w:b/>
              </w:rPr>
            </w:pPr>
            <w:r w:rsidRPr="006621D5">
              <w:rPr>
                <w:rFonts w:eastAsia="Times New Roman" w:cs="Arial"/>
                <w:b/>
              </w:rPr>
              <w:t>GENERAL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jc w:val="center"/>
              <w:rPr>
                <w:rFonts w:cs="Arial"/>
              </w:rPr>
            </w:pP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contextualSpacing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Schedule new employee into six month New Hire Meeting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autoSpaceDE w:val="0"/>
              <w:autoSpaceDN w:val="0"/>
              <w:adjustRightInd w:val="0"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TAL AC &amp; ONB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3"/>
              </w:numPr>
              <w:ind w:left="360"/>
              <w:contextualSpacing/>
              <w:rPr>
                <w:rFonts w:cs="Arial"/>
              </w:rPr>
            </w:pPr>
            <w:r w:rsidRPr="006621D5">
              <w:rPr>
                <w:rFonts w:cs="Arial"/>
              </w:rPr>
              <w:t>Participate in a Welcoming Activity (Luncheon, Team Photo, Decorate Locker, Supplies, Signed Card)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6621D5">
              <w:rPr>
                <w:rFonts w:cs="Arial"/>
              </w:rPr>
              <w:t>Location and Orientation to Contents of:</w:t>
            </w:r>
          </w:p>
          <w:p w:rsidR="005369AB" w:rsidRPr="006621D5" w:rsidRDefault="005369AB" w:rsidP="005369AB">
            <w:pPr>
              <w:numPr>
                <w:ilvl w:val="0"/>
                <w:numId w:val="4"/>
              </w:numPr>
              <w:ind w:left="576" w:hanging="288"/>
              <w:rPr>
                <w:rFonts w:cs="Arial"/>
              </w:rPr>
            </w:pPr>
            <w:r w:rsidRPr="006621D5">
              <w:rPr>
                <w:rFonts w:cs="Arial"/>
              </w:rPr>
              <w:t>Administrative/Hospital Policy and Procedure Manual(s)</w:t>
            </w:r>
          </w:p>
          <w:p w:rsidR="005369AB" w:rsidRPr="006621D5" w:rsidRDefault="005369AB" w:rsidP="005369AB">
            <w:pPr>
              <w:numPr>
                <w:ilvl w:val="0"/>
                <w:numId w:val="4"/>
              </w:numPr>
              <w:ind w:left="576" w:hanging="288"/>
              <w:rPr>
                <w:rFonts w:cs="Arial"/>
              </w:rPr>
            </w:pPr>
            <w:r w:rsidRPr="006621D5">
              <w:rPr>
                <w:rFonts w:cs="Arial"/>
              </w:rPr>
              <w:t>Department Specific Policy and Procedure Manual(s)</w:t>
            </w:r>
          </w:p>
          <w:p w:rsidR="005369AB" w:rsidRPr="006621D5" w:rsidRDefault="005369AB" w:rsidP="005369AB">
            <w:pPr>
              <w:numPr>
                <w:ilvl w:val="0"/>
                <w:numId w:val="4"/>
              </w:numPr>
              <w:ind w:left="576" w:hanging="288"/>
              <w:rPr>
                <w:rFonts w:cs="Arial"/>
              </w:rPr>
            </w:pPr>
            <w:r w:rsidRPr="006621D5">
              <w:rPr>
                <w:rFonts w:cs="Arial"/>
              </w:rPr>
              <w:t>Safety Manual, Diet Manual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6621D5">
              <w:rPr>
                <w:rFonts w:cs="Arial"/>
              </w:rPr>
              <w:t>Employee, Patient, Sr. Leader Rounding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Work Schedules, Kronos, Sick Call, Call Off, Request Time Off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Department / Unit Specific Performance Improvement Activities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Department / Unit Specific Experience Distinction Standards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Food, Beverages at Desk, Office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Department and Facility Tour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Meals, Breaks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Telephone System and Etiquette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 xml:space="preserve">Mail 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7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Lockers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5369AB">
            <w:pPr>
              <w:numPr>
                <w:ilvl w:val="0"/>
                <w:numId w:val="3"/>
              </w:numPr>
              <w:ind w:left="360"/>
              <w:contextualSpacing/>
              <w:rPr>
                <w:rFonts w:cs="Arial"/>
              </w:rPr>
            </w:pPr>
            <w:r w:rsidRPr="006621D5">
              <w:rPr>
                <w:rFonts w:cs="Arial"/>
              </w:rPr>
              <w:t>Meet with preceptor and discuss employee’s progress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rPr>
          <w:trHeight w:val="287"/>
        </w:trPr>
        <w:tc>
          <w:tcPr>
            <w:tcW w:w="9540" w:type="dxa"/>
          </w:tcPr>
          <w:p w:rsidR="005369AB" w:rsidRPr="006621D5" w:rsidRDefault="005369AB" w:rsidP="006210F1">
            <w:pPr>
              <w:keepNext/>
              <w:outlineLvl w:val="0"/>
              <w:rPr>
                <w:rFonts w:eastAsia="Times New Roman" w:cs="Arial"/>
                <w:b/>
              </w:rPr>
            </w:pPr>
            <w:r w:rsidRPr="006621D5">
              <w:rPr>
                <w:rFonts w:eastAsia="Times New Roman" w:cs="Arial"/>
                <w:b/>
              </w:rPr>
              <w:t>ENVIRONMENT OF CARE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5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Department / Unit Specific Safety Hazards and Response Procedures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5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Department / Unit Specific Fire Response Plan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5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Location of Fire Extinguishers, Fire Alarm Pull Stations, Fire Doors, and Smoke Compartments</w:t>
            </w:r>
          </w:p>
        </w:tc>
        <w:tc>
          <w:tcPr>
            <w:tcW w:w="1710" w:type="dxa"/>
            <w:shd w:val="clear" w:color="auto" w:fill="auto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5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Evacuation Routes  -- Vertical and Horizontal (as appropriate)</w:t>
            </w:r>
          </w:p>
        </w:tc>
        <w:tc>
          <w:tcPr>
            <w:tcW w:w="1710" w:type="dxa"/>
            <w:shd w:val="clear" w:color="auto" w:fill="auto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5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Department / Unit Specific Emergency Preparedness (Disaster) Response Plan</w:t>
            </w:r>
          </w:p>
        </w:tc>
        <w:tc>
          <w:tcPr>
            <w:tcW w:w="1710" w:type="dxa"/>
            <w:shd w:val="clear" w:color="auto" w:fill="auto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5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Department / Unit Specific Response to Loss of Utilities (Electricity, Water, Telephone, Vacuum)</w:t>
            </w:r>
          </w:p>
        </w:tc>
        <w:tc>
          <w:tcPr>
            <w:tcW w:w="1710" w:type="dxa"/>
            <w:shd w:val="clear" w:color="auto" w:fill="auto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5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Department / Unit Specific Security Systems and Emergency Procedures</w:t>
            </w:r>
          </w:p>
        </w:tc>
        <w:tc>
          <w:tcPr>
            <w:tcW w:w="1710" w:type="dxa"/>
            <w:shd w:val="clear" w:color="auto" w:fill="auto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5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Location and Type of Department / Unit Specific Hazardous Chemicals and/or Wastes</w:t>
            </w:r>
          </w:p>
        </w:tc>
        <w:tc>
          <w:tcPr>
            <w:tcW w:w="1710" w:type="dxa"/>
            <w:shd w:val="clear" w:color="auto" w:fill="auto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5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Location of MSDS</w:t>
            </w:r>
          </w:p>
        </w:tc>
        <w:tc>
          <w:tcPr>
            <w:tcW w:w="1710" w:type="dxa"/>
            <w:shd w:val="clear" w:color="auto" w:fill="auto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5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Department / Unit Chemical Spill Clean Up Procedure (as appropriate)</w:t>
            </w:r>
          </w:p>
        </w:tc>
        <w:tc>
          <w:tcPr>
            <w:tcW w:w="1710" w:type="dxa"/>
            <w:shd w:val="clear" w:color="auto" w:fill="auto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5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Use of Personal Protective Equipment</w:t>
            </w:r>
          </w:p>
        </w:tc>
        <w:tc>
          <w:tcPr>
            <w:tcW w:w="1710" w:type="dxa"/>
            <w:shd w:val="clear" w:color="auto" w:fill="auto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5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Department / Unit Specific Medical Equipment Safety Issues (as appropriate)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11250" w:type="dxa"/>
            <w:gridSpan w:val="2"/>
          </w:tcPr>
          <w:p w:rsidR="005369AB" w:rsidRPr="006621D5" w:rsidRDefault="005369AB" w:rsidP="006210F1">
            <w:pPr>
              <w:rPr>
                <w:rFonts w:eastAsia="Corbel" w:cs="Arial"/>
                <w:b/>
              </w:rPr>
            </w:pPr>
            <w:r w:rsidRPr="006621D5">
              <w:rPr>
                <w:rFonts w:cs="Arial"/>
                <w:b/>
              </w:rPr>
              <w:t>INFECTION CONTROL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6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Location &amp; Orientation to Contents of Infection Control Manual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6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Location &amp; Use of Isolation Supplies, Equipment, and Personal Protective Gear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6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Low Level Disinfection of Equipment &amp; Surfaces / Use of Cleaning / Disinfection Agent(s)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auto"/>
          </w:tcPr>
          <w:p w:rsidR="005369AB" w:rsidRPr="006621D5" w:rsidRDefault="005369AB" w:rsidP="005369AB">
            <w:pPr>
              <w:numPr>
                <w:ilvl w:val="0"/>
                <w:numId w:val="6"/>
              </w:numPr>
              <w:ind w:left="360"/>
              <w:rPr>
                <w:rFonts w:cs="Arial"/>
              </w:rPr>
            </w:pPr>
            <w:r w:rsidRPr="006621D5">
              <w:rPr>
                <w:rFonts w:cs="Arial"/>
              </w:rPr>
              <w:t>Preventing Central Line, Catheter Associated Urinary Tract &amp; Surgical Site Infections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 xml:space="preserve">MGR-PREC-EMP </w:t>
            </w:r>
          </w:p>
        </w:tc>
      </w:tr>
      <w:tr w:rsidR="005369AB" w:rsidRPr="006621D5" w:rsidTr="006210F1">
        <w:tc>
          <w:tcPr>
            <w:tcW w:w="9540" w:type="dxa"/>
            <w:shd w:val="clear" w:color="auto" w:fill="000000" w:themeFill="text1"/>
          </w:tcPr>
          <w:p w:rsidR="005369AB" w:rsidRPr="006621D5" w:rsidRDefault="005369AB" w:rsidP="006210F1">
            <w:pPr>
              <w:rPr>
                <w:rFonts w:cs="Arial"/>
              </w:rPr>
            </w:pPr>
            <w:r w:rsidRPr="006621D5">
              <w:rPr>
                <w:rFonts w:eastAsia="Corbel" w:cs="Arial"/>
                <w:b/>
                <w:color w:val="FFFFFF" w:themeColor="background1"/>
              </w:rPr>
              <w:t>60 – 90 DAYS</w:t>
            </w:r>
          </w:p>
        </w:tc>
        <w:tc>
          <w:tcPr>
            <w:tcW w:w="1710" w:type="dxa"/>
            <w:shd w:val="clear" w:color="auto" w:fill="000000" w:themeFill="text1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5369AB">
            <w:pPr>
              <w:numPr>
                <w:ilvl w:val="0"/>
                <w:numId w:val="3"/>
              </w:numPr>
              <w:ind w:left="360"/>
              <w:contextualSpacing/>
              <w:rPr>
                <w:rFonts w:cs="Arial"/>
              </w:rPr>
            </w:pPr>
            <w:r w:rsidRPr="006621D5">
              <w:rPr>
                <w:rFonts w:eastAsia="Corbel" w:cs="Arial"/>
              </w:rPr>
              <w:t>Round and ask New Hire Meeting Questions.</w:t>
            </w:r>
          </w:p>
          <w:p w:rsidR="005369AB" w:rsidRPr="006621D5" w:rsidRDefault="005369AB" w:rsidP="005369AB">
            <w:pPr>
              <w:numPr>
                <w:ilvl w:val="0"/>
                <w:numId w:val="8"/>
              </w:numPr>
              <w:contextualSpacing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How do we compare with what we said in your interviewing process</w:t>
            </w:r>
          </w:p>
          <w:p w:rsidR="005369AB" w:rsidRPr="006621D5" w:rsidRDefault="005369AB" w:rsidP="005369AB">
            <w:pPr>
              <w:numPr>
                <w:ilvl w:val="0"/>
                <w:numId w:val="8"/>
              </w:numPr>
              <w:contextualSpacing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What’s working well</w:t>
            </w:r>
          </w:p>
          <w:p w:rsidR="005369AB" w:rsidRPr="006621D5" w:rsidRDefault="005369AB" w:rsidP="005369AB">
            <w:pPr>
              <w:numPr>
                <w:ilvl w:val="0"/>
                <w:numId w:val="8"/>
              </w:numPr>
              <w:contextualSpacing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Have there been any individuals who have been helpful to you</w:t>
            </w:r>
          </w:p>
          <w:p w:rsidR="005369AB" w:rsidRPr="006621D5" w:rsidRDefault="005369AB" w:rsidP="005369AB">
            <w:pPr>
              <w:numPr>
                <w:ilvl w:val="0"/>
                <w:numId w:val="8"/>
              </w:numPr>
              <w:contextualSpacing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Based on your past experience, what ideas do you have for improving our processes or operations</w:t>
            </w:r>
          </w:p>
          <w:p w:rsidR="005369AB" w:rsidRPr="006621D5" w:rsidRDefault="005369AB" w:rsidP="005369AB">
            <w:pPr>
              <w:numPr>
                <w:ilvl w:val="0"/>
                <w:numId w:val="8"/>
              </w:numPr>
              <w:contextualSpacing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Is there any reason that you feel this is not the right place for you</w:t>
            </w:r>
          </w:p>
          <w:p w:rsidR="005369AB" w:rsidRPr="006621D5" w:rsidRDefault="005369AB" w:rsidP="005369AB">
            <w:pPr>
              <w:numPr>
                <w:ilvl w:val="0"/>
                <w:numId w:val="8"/>
              </w:numPr>
              <w:contextualSpacing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Do you know of any candidates that you can recommend as potential employees(90 Days)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MGR-PREC-EMP</w:t>
            </w:r>
          </w:p>
        </w:tc>
      </w:tr>
      <w:tr w:rsidR="005369AB" w:rsidRPr="006621D5" w:rsidTr="006210F1">
        <w:tc>
          <w:tcPr>
            <w:tcW w:w="9540" w:type="dxa"/>
          </w:tcPr>
          <w:p w:rsidR="005369AB" w:rsidRPr="006621D5" w:rsidRDefault="005369AB" w:rsidP="005369AB">
            <w:pPr>
              <w:numPr>
                <w:ilvl w:val="0"/>
                <w:numId w:val="3"/>
              </w:numPr>
              <w:ind w:left="360"/>
              <w:contextualSpacing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Complete 60 Day Performance Evaluation (Performance Manager)</w:t>
            </w:r>
          </w:p>
        </w:tc>
        <w:tc>
          <w:tcPr>
            <w:tcW w:w="1710" w:type="dxa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MGR-EMP</w:t>
            </w:r>
          </w:p>
        </w:tc>
      </w:tr>
    </w:tbl>
    <w:tbl>
      <w:tblPr>
        <w:tblStyle w:val="TableGrid2"/>
        <w:tblW w:w="112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540"/>
        <w:gridCol w:w="1710"/>
      </w:tblGrid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3"/>
              </w:numPr>
              <w:ind w:left="360"/>
              <w:contextualSpacing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Complete Preceptor Evaluation online in Swank Healthcare (Assignments) (90Days)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5369AB">
            <w:pPr>
              <w:numPr>
                <w:ilvl w:val="0"/>
                <w:numId w:val="3"/>
              </w:numPr>
              <w:ind w:left="360"/>
              <w:contextualSpacing/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Validate Initial Competency Self-Assessment (Clinical Only) (90 Days)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MGR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369AB" w:rsidRPr="006621D5" w:rsidRDefault="005369AB" w:rsidP="006210F1">
            <w:pPr>
              <w:rPr>
                <w:rFonts w:eastAsia="Corbel" w:cs="Arial"/>
                <w:b/>
              </w:rPr>
            </w:pPr>
            <w:r w:rsidRPr="006621D5">
              <w:rPr>
                <w:rFonts w:eastAsia="Corbel" w:cs="Arial"/>
                <w:b/>
                <w:color w:val="FFFFFF" w:themeColor="background1"/>
              </w:rPr>
              <w:t>6 MONTHS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sym w:font="Wingdings" w:char="F06F"/>
            </w:r>
            <w:r w:rsidRPr="006621D5">
              <w:rPr>
                <w:rFonts w:eastAsia="Corbel" w:cs="Arial"/>
              </w:rPr>
              <w:t xml:space="preserve">   Attend New Hire Meeting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  <w:b/>
                <w:color w:val="FFFFFF" w:themeColor="background1"/>
              </w:rPr>
              <w:t>12 MONTHS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sym w:font="Wingdings" w:char="F06F"/>
            </w:r>
            <w:r w:rsidRPr="006621D5">
              <w:rPr>
                <w:rFonts w:eastAsia="Corbel" w:cs="Arial"/>
              </w:rPr>
              <w:t xml:space="preserve">   Identify development and career goals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MGR-EMP</w:t>
            </w: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  <w:b/>
                <w:color w:val="FFFFFF" w:themeColor="background1"/>
              </w:rPr>
              <w:t>18 MONTHS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</w:p>
        </w:tc>
      </w:tr>
      <w:tr w:rsidR="005369AB" w:rsidRPr="006621D5" w:rsidTr="006210F1">
        <w:tc>
          <w:tcPr>
            <w:tcW w:w="954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sym w:font="Wingdings" w:char="F06F"/>
            </w:r>
            <w:r w:rsidRPr="006621D5">
              <w:rPr>
                <w:rFonts w:eastAsia="Corbel" w:cs="Arial"/>
              </w:rPr>
              <w:t xml:space="preserve">   Conduct Stay Interview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369AB" w:rsidRPr="006621D5" w:rsidRDefault="005369AB" w:rsidP="006210F1">
            <w:pPr>
              <w:rPr>
                <w:rFonts w:eastAsia="Corbel" w:cs="Arial"/>
              </w:rPr>
            </w:pPr>
            <w:r w:rsidRPr="006621D5">
              <w:rPr>
                <w:rFonts w:eastAsia="Corbel" w:cs="Arial"/>
              </w:rPr>
              <w:t>MGR-EMP</w:t>
            </w:r>
          </w:p>
        </w:tc>
      </w:tr>
    </w:tbl>
    <w:p w:rsidR="005369AB" w:rsidRPr="006621D5" w:rsidRDefault="005369AB" w:rsidP="005369AB">
      <w:pPr>
        <w:rPr>
          <w:rFonts w:cs="Arial"/>
          <w:b/>
        </w:rPr>
      </w:pPr>
    </w:p>
    <w:sectPr w:rsidR="005369AB" w:rsidRPr="006621D5" w:rsidSect="006621D5">
      <w:footerReference w:type="default" r:id="rId11"/>
      <w:footerReference w:type="first" r:id="rId1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DC" w:rsidRDefault="00610FDC" w:rsidP="005369AB">
      <w:r>
        <w:separator/>
      </w:r>
    </w:p>
  </w:endnote>
  <w:endnote w:type="continuationSeparator" w:id="0">
    <w:p w:rsidR="00610FDC" w:rsidRDefault="00610FDC" w:rsidP="0053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49583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45505" w:rsidRPr="00877D7B" w:rsidRDefault="00610FDC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877D7B">
          <w:fldChar w:fldCharType="begin"/>
        </w:r>
        <w:r w:rsidRPr="00877D7B">
          <w:instrText xml:space="preserve"> PAGE   \* MERGEFORMAT </w:instrText>
        </w:r>
        <w:r w:rsidRPr="00877D7B">
          <w:fldChar w:fldCharType="separate"/>
        </w:r>
        <w:r w:rsidR="005369AB">
          <w:rPr>
            <w:noProof/>
          </w:rPr>
          <w:t>1</w:t>
        </w:r>
        <w:r w:rsidRPr="00877D7B">
          <w:rPr>
            <w:noProof/>
          </w:rPr>
          <w:fldChar w:fldCharType="end"/>
        </w:r>
        <w:r w:rsidRPr="00877D7B">
          <w:t xml:space="preserve"> | </w:t>
        </w:r>
        <w:r w:rsidRPr="00877D7B">
          <w:rPr>
            <w:color w:val="808080" w:themeColor="background1" w:themeShade="80"/>
            <w:spacing w:val="60"/>
          </w:rPr>
          <w:t>Page</w:t>
        </w:r>
      </w:p>
    </w:sdtContent>
  </w:sdt>
  <w:p w:rsidR="00445505" w:rsidRDefault="00610F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758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5505" w:rsidRDefault="00610F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5505" w:rsidRDefault="00610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DC" w:rsidRDefault="00610FDC" w:rsidP="005369AB">
      <w:r>
        <w:separator/>
      </w:r>
    </w:p>
  </w:footnote>
  <w:footnote w:type="continuationSeparator" w:id="0">
    <w:p w:rsidR="00610FDC" w:rsidRDefault="00610FDC" w:rsidP="00536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CF0"/>
    <w:multiLevelType w:val="hybridMultilevel"/>
    <w:tmpl w:val="F50453A6"/>
    <w:lvl w:ilvl="0" w:tplc="D36427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2E8B"/>
    <w:multiLevelType w:val="hybridMultilevel"/>
    <w:tmpl w:val="74D23916"/>
    <w:lvl w:ilvl="0" w:tplc="A850973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A85097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8446B"/>
    <w:multiLevelType w:val="hybridMultilevel"/>
    <w:tmpl w:val="8DFC86B4"/>
    <w:lvl w:ilvl="0" w:tplc="0DBC61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90BC7"/>
    <w:multiLevelType w:val="hybridMultilevel"/>
    <w:tmpl w:val="EAAE93C6"/>
    <w:lvl w:ilvl="0" w:tplc="A850973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E1823"/>
    <w:multiLevelType w:val="hybridMultilevel"/>
    <w:tmpl w:val="A3A4794C"/>
    <w:lvl w:ilvl="0" w:tplc="A850973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655C7"/>
    <w:multiLevelType w:val="hybridMultilevel"/>
    <w:tmpl w:val="FA321A02"/>
    <w:lvl w:ilvl="0" w:tplc="A850973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9069B"/>
    <w:multiLevelType w:val="hybridMultilevel"/>
    <w:tmpl w:val="46326E3A"/>
    <w:lvl w:ilvl="0" w:tplc="A850973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B6EC4"/>
    <w:multiLevelType w:val="hybridMultilevel"/>
    <w:tmpl w:val="34702CC8"/>
    <w:lvl w:ilvl="0" w:tplc="A850973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AB"/>
    <w:rsid w:val="005369AB"/>
    <w:rsid w:val="00610FDC"/>
    <w:rsid w:val="00A0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A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3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unhideWhenUsed/>
    <w:rsid w:val="0053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369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9AB"/>
  </w:style>
  <w:style w:type="paragraph" w:styleId="BalloonText">
    <w:name w:val="Balloon Text"/>
    <w:basedOn w:val="Normal"/>
    <w:link w:val="BalloonTextChar"/>
    <w:uiPriority w:val="99"/>
    <w:semiHidden/>
    <w:unhideWhenUsed/>
    <w:rsid w:val="00536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69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A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3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unhideWhenUsed/>
    <w:rsid w:val="0053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369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9AB"/>
  </w:style>
  <w:style w:type="paragraph" w:styleId="BalloonText">
    <w:name w:val="Balloon Text"/>
    <w:basedOn w:val="Normal"/>
    <w:link w:val="BalloonTextChar"/>
    <w:uiPriority w:val="99"/>
    <w:semiHidden/>
    <w:unhideWhenUsed/>
    <w:rsid w:val="00536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69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fm.healthcaresource.com/performance/th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s.swankhealthcar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 System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Pasquarella, Kathie</dc:creator>
  <cp:lastModifiedBy>Pasquarella, Kathie</cp:lastModifiedBy>
  <cp:revision>1</cp:revision>
  <dcterms:created xsi:type="dcterms:W3CDTF">2018-02-19T16:27:00Z</dcterms:created>
  <dcterms:modified xsi:type="dcterms:W3CDTF">2018-02-19T16:30:00Z</dcterms:modified>
</cp:coreProperties>
</file>